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E61E" w14:textId="7ED47AE6" w:rsidR="006D7C3C" w:rsidRPr="006D7C3C" w:rsidRDefault="006D7C3C" w:rsidP="006D7C3C">
      <w:pPr>
        <w:jc w:val="center"/>
        <w:rPr>
          <w:rFonts w:ascii="Calibri" w:eastAsia="Calibri" w:hAnsi="Calibri" w:cs="Times New Roman"/>
          <w:b/>
          <w:bCs/>
          <w:lang w:eastAsia="en-US"/>
        </w:rPr>
      </w:pPr>
      <w:r w:rsidRPr="006D7C3C">
        <w:rPr>
          <w:rFonts w:ascii="Calibri" w:eastAsia="Calibri" w:hAnsi="Calibri" w:cs="Times New Roman"/>
          <w:b/>
          <w:bCs/>
          <w:lang w:eastAsia="en-US"/>
        </w:rPr>
        <w:t xml:space="preserve">Lab methods paragraph: </w:t>
      </w:r>
      <w:r>
        <w:rPr>
          <w:rFonts w:ascii="Calibri" w:eastAsia="Calibri" w:hAnsi="Calibri" w:cs="Times New Roman"/>
          <w:b/>
          <w:bCs/>
          <w:lang w:eastAsia="en-US"/>
        </w:rPr>
        <w:t>SOCs</w:t>
      </w:r>
      <w:r w:rsidRPr="006D7C3C">
        <w:rPr>
          <w:rFonts w:ascii="Calibri" w:eastAsia="Calibri" w:hAnsi="Calibri" w:cs="Times New Roman"/>
          <w:b/>
          <w:bCs/>
          <w:lang w:eastAsia="en-US"/>
        </w:rPr>
        <w:t xml:space="preserve"> in </w:t>
      </w:r>
      <w:r w:rsidR="00084639">
        <w:rPr>
          <w:rFonts w:ascii="Calibri" w:eastAsia="Calibri" w:hAnsi="Calibri" w:cs="Times New Roman"/>
          <w:b/>
          <w:bCs/>
          <w:lang w:eastAsia="en-US"/>
        </w:rPr>
        <w:t>serum</w:t>
      </w:r>
      <w:r w:rsidRPr="006D7C3C">
        <w:rPr>
          <w:rFonts w:ascii="Calibri" w:eastAsia="Calibri" w:hAnsi="Calibri" w:cs="Times New Roman"/>
          <w:b/>
          <w:bCs/>
          <w:lang w:eastAsia="en-US"/>
        </w:rPr>
        <w:t xml:space="preserve"> </w:t>
      </w:r>
    </w:p>
    <w:p w14:paraId="592611C7" w14:textId="77777777" w:rsidR="004C1CD2" w:rsidRDefault="006D7C3C" w:rsidP="006D7C3C">
      <w:pPr>
        <w:spacing w:after="0" w:line="240" w:lineRule="auto"/>
        <w:rPr>
          <w:rFonts w:ascii="Calibri" w:eastAsia="Calibri" w:hAnsi="Calibri" w:cs="Times New Roman"/>
          <w:lang w:eastAsia="en-US"/>
        </w:rPr>
      </w:pPr>
      <w:r w:rsidRPr="006D7C3C">
        <w:rPr>
          <w:rFonts w:ascii="Calibri" w:eastAsia="Calibri" w:hAnsi="Calibri" w:cs="Times New Roman"/>
          <w:b/>
          <w:bCs/>
          <w:lang w:eastAsia="en-US"/>
        </w:rPr>
        <w:t>HHEAR Project</w:t>
      </w:r>
      <w:r w:rsidR="004C1CD2">
        <w:rPr>
          <w:rFonts w:ascii="Calibri" w:eastAsia="Calibri" w:hAnsi="Calibri" w:cs="Times New Roman"/>
          <w:b/>
          <w:bCs/>
          <w:lang w:eastAsia="en-US"/>
        </w:rPr>
        <w:t xml:space="preserve"> #</w:t>
      </w:r>
      <w:r w:rsidRPr="006D7C3C">
        <w:rPr>
          <w:rFonts w:ascii="Calibri" w:eastAsia="Calibri" w:hAnsi="Calibri" w:cs="Times New Roman"/>
          <w:b/>
          <w:bCs/>
          <w:lang w:eastAsia="en-US"/>
        </w:rPr>
        <w:t>:</w:t>
      </w:r>
      <w:r w:rsidRPr="006D7C3C">
        <w:rPr>
          <w:rFonts w:ascii="Calibri" w:eastAsia="Calibri" w:hAnsi="Calibri" w:cs="Times New Roman"/>
          <w:lang w:eastAsia="en-US"/>
        </w:rPr>
        <w:t xml:space="preserve"> 2020-00605 </w:t>
      </w:r>
    </w:p>
    <w:p w14:paraId="2972E697" w14:textId="79CC4F89" w:rsidR="006D7C3C" w:rsidRDefault="004C1CD2" w:rsidP="006D7C3C">
      <w:pPr>
        <w:spacing w:after="0" w:line="240" w:lineRule="auto"/>
        <w:rPr>
          <w:rFonts w:ascii="Calibri" w:eastAsia="Calibri" w:hAnsi="Calibri" w:cs="Times New Roman"/>
          <w:lang w:eastAsia="en-US"/>
        </w:rPr>
      </w:pPr>
      <w:r w:rsidRPr="004C1CD2">
        <w:rPr>
          <w:rFonts w:ascii="Calibri" w:eastAsia="Calibri" w:hAnsi="Calibri" w:cs="Times New Roman"/>
          <w:b/>
          <w:bCs/>
          <w:lang w:eastAsia="en-US"/>
        </w:rPr>
        <w:t>HHEAR Project Title:</w:t>
      </w:r>
      <w:r>
        <w:rPr>
          <w:rFonts w:ascii="Calibri" w:eastAsia="Calibri" w:hAnsi="Calibri" w:cs="Times New Roman"/>
          <w:lang w:eastAsia="en-US"/>
        </w:rPr>
        <w:t xml:space="preserve"> </w:t>
      </w:r>
      <w:r w:rsidR="006D7C3C" w:rsidRPr="006D7C3C">
        <w:rPr>
          <w:rFonts w:ascii="Calibri" w:eastAsia="Calibri" w:hAnsi="Calibri" w:cs="Times New Roman"/>
          <w:lang w:eastAsia="en-US"/>
        </w:rPr>
        <w:t>Role of environmental toxicants in obesity-related cardiovascular disease</w:t>
      </w:r>
    </w:p>
    <w:p w14:paraId="6DBE8A85" w14:textId="554D307C" w:rsidR="004C1CD2" w:rsidRPr="006D7C3C" w:rsidRDefault="004C1CD2" w:rsidP="006D7C3C">
      <w:pPr>
        <w:spacing w:after="0" w:line="240" w:lineRule="auto"/>
        <w:rPr>
          <w:rFonts w:ascii="Calibri" w:eastAsia="Calibri" w:hAnsi="Calibri" w:cs="Times New Roman"/>
          <w:lang w:eastAsia="en-US"/>
        </w:rPr>
      </w:pPr>
      <w:r w:rsidRPr="004C1CD2">
        <w:rPr>
          <w:rFonts w:ascii="Calibri" w:eastAsia="Calibri" w:hAnsi="Calibri" w:cs="Times New Roman"/>
          <w:b/>
          <w:bCs/>
          <w:lang w:eastAsia="en-US"/>
        </w:rPr>
        <w:t>PI:</w:t>
      </w:r>
      <w:r w:rsidRPr="004C1CD2">
        <w:rPr>
          <w:rFonts w:ascii="Calibri" w:eastAsia="Calibri" w:hAnsi="Calibri" w:cs="Times New Roman"/>
          <w:lang w:eastAsia="en-US"/>
        </w:rPr>
        <w:t xml:space="preserve"> </w:t>
      </w:r>
      <w:r>
        <w:rPr>
          <w:rFonts w:ascii="Calibri" w:eastAsia="Calibri" w:hAnsi="Calibri" w:cs="Times New Roman"/>
          <w:lang w:eastAsia="en-US"/>
        </w:rPr>
        <w:t>Dr. Gokce (MD)</w:t>
      </w:r>
    </w:p>
    <w:p w14:paraId="0C056DEA" w14:textId="77777777" w:rsidR="00031E4F" w:rsidRPr="006D7C3C" w:rsidRDefault="006D7C3C" w:rsidP="00031E4F">
      <w:pPr>
        <w:spacing w:after="0" w:line="240" w:lineRule="auto"/>
        <w:rPr>
          <w:rFonts w:ascii="Calibri" w:eastAsia="Calibri" w:hAnsi="Calibri" w:cs="Times New Roman"/>
          <w:lang w:eastAsia="en-US"/>
        </w:rPr>
      </w:pPr>
      <w:r w:rsidRPr="006D7C3C">
        <w:rPr>
          <w:rFonts w:ascii="Calibri" w:eastAsia="Calibri" w:hAnsi="Calibri" w:cs="Times New Roman"/>
          <w:b/>
          <w:bCs/>
          <w:lang w:eastAsia="en-US"/>
        </w:rPr>
        <w:t>Lab Hub:</w:t>
      </w:r>
      <w:r w:rsidRPr="006D7C3C">
        <w:rPr>
          <w:rFonts w:ascii="Calibri" w:eastAsia="Calibri" w:hAnsi="Calibri" w:cs="Times New Roman"/>
          <w:lang w:eastAsia="en-US"/>
        </w:rPr>
        <w:t xml:space="preserve"> </w:t>
      </w:r>
      <w:r w:rsidR="00031E4F" w:rsidRPr="002547C3">
        <w:rPr>
          <w:rFonts w:ascii="Calibri" w:eastAsia="Calibri" w:hAnsi="Calibri" w:cs="Times New Roman"/>
          <w:lang w:eastAsia="en-US"/>
        </w:rPr>
        <w:t>Wadsworth HHEAR Targeted Analysis Laboratory</w:t>
      </w:r>
    </w:p>
    <w:p w14:paraId="30DB6C7D" w14:textId="47566EB8" w:rsidR="006D7C3C" w:rsidRPr="006D7C3C" w:rsidRDefault="006D7C3C" w:rsidP="006D7C3C">
      <w:pPr>
        <w:spacing w:after="0" w:line="240" w:lineRule="auto"/>
        <w:rPr>
          <w:rFonts w:ascii="Calibri" w:eastAsia="Calibri" w:hAnsi="Calibri" w:cs="Times New Roman"/>
          <w:lang w:eastAsia="en-US"/>
        </w:rPr>
      </w:pPr>
      <w:r w:rsidRPr="006D7C3C">
        <w:rPr>
          <w:rFonts w:ascii="Calibri" w:eastAsia="Calibri" w:hAnsi="Calibri" w:cs="Times New Roman"/>
          <w:b/>
          <w:bCs/>
          <w:lang w:eastAsia="en-US"/>
        </w:rPr>
        <w:t>Panel:</w:t>
      </w:r>
      <w:r w:rsidRPr="006D7C3C">
        <w:rPr>
          <w:rFonts w:ascii="Calibri" w:eastAsia="Calibri" w:hAnsi="Calibri" w:cs="Times New Roman"/>
          <w:lang w:eastAsia="en-US"/>
        </w:rPr>
        <w:t xml:space="preserve"> Organochlorine Pesticides (</w:t>
      </w:r>
      <w:r>
        <w:rPr>
          <w:rFonts w:ascii="Calibri" w:eastAsia="Calibri" w:hAnsi="Calibri" w:cs="Times New Roman"/>
          <w:lang w:eastAsia="en-US"/>
        </w:rPr>
        <w:t>SOCs</w:t>
      </w:r>
      <w:r w:rsidRPr="006D7C3C">
        <w:rPr>
          <w:rFonts w:ascii="Calibri" w:eastAsia="Calibri" w:hAnsi="Calibri" w:cs="Times New Roman"/>
          <w:lang w:eastAsia="en-US"/>
        </w:rPr>
        <w:t>) in serum/plasma</w:t>
      </w:r>
    </w:p>
    <w:p w14:paraId="46E6FD3E" w14:textId="77777777" w:rsidR="00846D45" w:rsidRPr="00846D45" w:rsidRDefault="00846D45" w:rsidP="00846D45">
      <w:pPr>
        <w:jc w:val="center"/>
        <w:rPr>
          <w:b/>
          <w:sz w:val="28"/>
          <w:szCs w:val="28"/>
        </w:rPr>
      </w:pPr>
    </w:p>
    <w:p w14:paraId="268E19A7" w14:textId="77777777" w:rsidR="00846D45" w:rsidRPr="00846D45" w:rsidRDefault="00846D45" w:rsidP="00846D45">
      <w:pPr>
        <w:rPr>
          <w:b/>
          <w:u w:val="single"/>
        </w:rPr>
      </w:pPr>
      <w:r w:rsidRPr="00846D45">
        <w:rPr>
          <w:b/>
          <w:u w:val="single"/>
        </w:rPr>
        <w:t>Sample preparation</w:t>
      </w:r>
    </w:p>
    <w:p w14:paraId="347AE540" w14:textId="31D0C62E" w:rsidR="00846D45" w:rsidRDefault="00337E8D" w:rsidP="00846D45">
      <w:r>
        <w:t xml:space="preserve">Eight OCPs </w:t>
      </w:r>
      <w:r w:rsidR="00846D45">
        <w:t xml:space="preserve">congeners were analyzed following methods similar to those described elsewhere with some modifications (Louis GM et al., 2018). Briefly, 1 ml of </w:t>
      </w:r>
      <w:r w:rsidR="00084639">
        <w:t>serum</w:t>
      </w:r>
      <w:r w:rsidR="00846D45">
        <w:t xml:space="preserve"> was aliquoted into pre-baked glass tubes and spiked with 13C-labelled internal standard mixture (250 </w:t>
      </w:r>
      <w:proofErr w:type="spellStart"/>
      <w:r w:rsidR="003745BA">
        <w:t>pg</w:t>
      </w:r>
      <w:proofErr w:type="spellEnd"/>
      <w:r w:rsidR="003745BA">
        <w:t xml:space="preserve"> for</w:t>
      </w:r>
      <w:r>
        <w:t xml:space="preserve"> OCP</w:t>
      </w:r>
      <w:r w:rsidR="00846D45">
        <w:t xml:space="preserve">s), gently vortexed and stored in a 4°C refrigerator overnight. 1 ml of 88% formic acid was added to the samples and samples were sonicated for 15 minutes followed by the addition of 2 ml of milli-Q water.  The samples were passed through custom made solid phase extraction (SPE) cartridges packed with 1.2 g of </w:t>
      </w:r>
      <w:proofErr w:type="spellStart"/>
      <w:r w:rsidR="00846D45">
        <w:t>Sepra</w:t>
      </w:r>
      <w:proofErr w:type="spellEnd"/>
      <w:r w:rsidR="00846D45">
        <w:t xml:space="preserve"> C18-E and extracted using a Rapid Trace SPE Workstation. Target analytes were eluted with 10ml of dichloromethane, and the eluate was concentrated to 1 ml under a gentle stream of nitrogen gas.  The concentrated extracts were passed through custom made SPE cartridges packed with 0.2 g of silica gel/1.1 g of sulfuric acid silica gel using a Rapid Trace SPE Workstation for purification and eluted with 30% dichloromethane in hexane, which was concentrated to a final volume of 50 µl under a gentle stream of nitrogen.  </w:t>
      </w:r>
    </w:p>
    <w:p w14:paraId="69B989F6" w14:textId="77777777" w:rsidR="00846D45" w:rsidRDefault="00846D45" w:rsidP="00846D45"/>
    <w:p w14:paraId="0DEE87AC" w14:textId="77777777" w:rsidR="00846D45" w:rsidRPr="00846D45" w:rsidRDefault="00846D45" w:rsidP="00846D45">
      <w:pPr>
        <w:rPr>
          <w:b/>
          <w:u w:val="single"/>
        </w:rPr>
      </w:pPr>
      <w:r w:rsidRPr="00846D45">
        <w:rPr>
          <w:b/>
          <w:u w:val="single"/>
        </w:rPr>
        <w:t>Instrumental analysis</w:t>
      </w:r>
    </w:p>
    <w:p w14:paraId="12D79B24" w14:textId="77777777" w:rsidR="00846D45" w:rsidRDefault="00337E8D" w:rsidP="00846D45">
      <w:r>
        <w:t>Target OCP</w:t>
      </w:r>
      <w:r w:rsidR="00846D45">
        <w:t>s were analyzed using a gas chromatograph (GC 7890A, Agilent Technologi</w:t>
      </w:r>
      <w:r>
        <w:t>es, Atlanta, GA) coupled with a high resolution mass spectrometer (JEOL 800D</w:t>
      </w:r>
      <w:r w:rsidR="00846D45">
        <w:t>). Analyte separa</w:t>
      </w:r>
      <w:r>
        <w:t xml:space="preserve">tion was achieved using a HB-5MS (30 m, 0.25-mm </w:t>
      </w:r>
      <w:proofErr w:type="spellStart"/>
      <w:r>
        <w:t>i.d.</w:t>
      </w:r>
      <w:proofErr w:type="spellEnd"/>
      <w:r>
        <w:t>, and 0.1</w:t>
      </w:r>
      <w:r w:rsidR="00846D45">
        <w:t xml:space="preserve">-µm film thickness; </w:t>
      </w:r>
      <w:r>
        <w:t>Agilent</w:t>
      </w:r>
      <w:r w:rsidR="00846D45">
        <w:t xml:space="preserve">) capillary column. Target analytes were quantified by isotope dilution method with 13C-labelled internal standards and an 8-point calibration (at concentrations ranging from 0.05 to 10 ng/mL) was used. Several procedural blanks were analyzed to monitor for contamination that can arise from reagents and materials used in sample preparation steps. </w:t>
      </w:r>
      <w:r w:rsidR="003745BA">
        <w:t>Four</w:t>
      </w:r>
      <w:r w:rsidR="00846D45">
        <w:t xml:space="preserve"> procedural blank</w:t>
      </w:r>
      <w:r w:rsidR="003745BA">
        <w:t xml:space="preserve">s, Four HHEAR QC serum Pools A and B, </w:t>
      </w:r>
      <w:r w:rsidR="00846D45">
        <w:t xml:space="preserve">and </w:t>
      </w:r>
      <w:r w:rsidR="003745BA">
        <w:t xml:space="preserve">Three </w:t>
      </w:r>
      <w:r w:rsidR="00846D45">
        <w:t>SRM1958 (NIST, Gaithersburg, MD, USA</w:t>
      </w:r>
      <w:r w:rsidR="003745BA">
        <w:t>)</w:t>
      </w:r>
      <w:r w:rsidR="00846D45">
        <w:t xml:space="preserve"> were analyzed for </w:t>
      </w:r>
      <w:r w:rsidR="003745BA">
        <w:t>the project</w:t>
      </w:r>
      <w:r w:rsidR="00846D45">
        <w:t>. NIST SRM 1958 sampl</w:t>
      </w:r>
      <w:r>
        <w:t>e recoveries were 51%-112</w:t>
      </w:r>
      <w:r w:rsidR="00846D45">
        <w:t xml:space="preserve">.0% and </w:t>
      </w:r>
      <w:r w:rsidR="003745BA">
        <w:t>HHEAR Serum QC Pools CV% were acceptable</w:t>
      </w:r>
      <w:r w:rsidR="00846D45">
        <w:t>. The limit of detection of target analytes ranged from 0.0025 to 0.005 ng/</w:t>
      </w:r>
      <w:proofErr w:type="spellStart"/>
      <w:r w:rsidR="00846D45">
        <w:t>mL.</w:t>
      </w:r>
      <w:proofErr w:type="spellEnd"/>
    </w:p>
    <w:p w14:paraId="74677CC1" w14:textId="77777777" w:rsidR="00846D45" w:rsidRDefault="00846D45" w:rsidP="00846D45"/>
    <w:p w14:paraId="4129FFA9" w14:textId="77777777" w:rsidR="00846D45" w:rsidRPr="00846D45" w:rsidRDefault="00846D45" w:rsidP="00846D45">
      <w:pPr>
        <w:rPr>
          <w:b/>
          <w:u w:val="single"/>
        </w:rPr>
      </w:pPr>
      <w:r w:rsidRPr="00846D45">
        <w:rPr>
          <w:b/>
          <w:u w:val="single"/>
        </w:rPr>
        <w:t>Reference</w:t>
      </w:r>
    </w:p>
    <w:p w14:paraId="0341C081" w14:textId="77777777" w:rsidR="002D00E2" w:rsidRDefault="00846D45" w:rsidP="00846D45">
      <w:r>
        <w:t>Buck Louis GM, Zhai S, Smarr MM, Grewal J, Zhang C, Grantz KL, Hinkle SN, Sundaram R, Lee S, Honda M, Oh J, Kannan K.   (2018). Endocrine disruptors and neonatal anthropometry, NICHD Fetal Growth Studies - Singletons.  Environ Int 2018;119:515-526.</w:t>
      </w:r>
    </w:p>
    <w:sectPr w:rsidR="002D0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45"/>
    <w:rsid w:val="00031E4F"/>
    <w:rsid w:val="00082FF2"/>
    <w:rsid w:val="00084639"/>
    <w:rsid w:val="002D00E2"/>
    <w:rsid w:val="00337E8D"/>
    <w:rsid w:val="003745BA"/>
    <w:rsid w:val="00383BD4"/>
    <w:rsid w:val="004C1CD2"/>
    <w:rsid w:val="004E5BCF"/>
    <w:rsid w:val="005764BF"/>
    <w:rsid w:val="005A64BC"/>
    <w:rsid w:val="006D7C3C"/>
    <w:rsid w:val="00846D45"/>
    <w:rsid w:val="00DE22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7930"/>
  <w15:chartTrackingRefBased/>
  <w15:docId w15:val="{7D564DFC-1FA7-4D97-A51F-9A844FB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NYU Langone Health</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Sunmi</dc:creator>
  <cp:keywords/>
  <dc:description/>
  <cp:lastModifiedBy>Bixby, Moira</cp:lastModifiedBy>
  <cp:revision>5</cp:revision>
  <dcterms:created xsi:type="dcterms:W3CDTF">2024-07-09T13:57:00Z</dcterms:created>
  <dcterms:modified xsi:type="dcterms:W3CDTF">2025-03-18T15:39:00Z</dcterms:modified>
</cp:coreProperties>
</file>